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3" w:rsidRPr="00D72EC6" w:rsidRDefault="00F16583" w:rsidP="00D72EC6">
      <w:pPr>
        <w:spacing w:before="120"/>
        <w:jc w:val="center"/>
        <w:rPr>
          <w:rFonts w:ascii="Times New Roman" w:hAnsi="Times New Roman"/>
          <w:b/>
        </w:rPr>
      </w:pPr>
      <w:r w:rsidRPr="00D72EC6">
        <w:rPr>
          <w:rFonts w:ascii="Times New Roman" w:hAnsi="Times New Roman"/>
          <w:b/>
        </w:rPr>
        <w:t>DANH SÁCH TỔ CHỨC ĐĂNG KÝ CƠ SỞ PHA CHẾ XĂNG DẦU</w:t>
      </w:r>
    </w:p>
    <w:p w:rsidR="00F16583" w:rsidRDefault="00F16583" w:rsidP="00D72EC6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theo</w:t>
      </w:r>
      <w:proofErr w:type="gramEnd"/>
      <w:r>
        <w:rPr>
          <w:rFonts w:ascii="Times New Roman" w:hAnsi="Times New Roman"/>
          <w:b/>
        </w:rPr>
        <w:t xml:space="preserve"> quy định tại Thông tư số 15/2015/TT-BKHCN ngày 25/8/2015 của Bộ KHCN)</w:t>
      </w:r>
    </w:p>
    <w:p w:rsidR="00F16583" w:rsidRDefault="00F16583" w:rsidP="00F16583">
      <w:pPr>
        <w:jc w:val="center"/>
        <w:rPr>
          <w:rFonts w:ascii="Times New Roman" w:hAnsi="Times New Roman"/>
          <w:b/>
          <w:i/>
          <w:iCs w:val="0"/>
        </w:rPr>
      </w:pPr>
    </w:p>
    <w:p w:rsidR="00F16583" w:rsidRPr="00BC4F5B" w:rsidRDefault="00F16583" w:rsidP="00F16583">
      <w:pPr>
        <w:jc w:val="center"/>
        <w:rPr>
          <w:rFonts w:ascii="Times New Roman" w:hAnsi="Times New Roman"/>
          <w:b/>
          <w:i/>
          <w:iCs w:val="0"/>
          <w:sz w:val="2"/>
        </w:rPr>
      </w:pPr>
    </w:p>
    <w:tbl>
      <w:tblPr>
        <w:tblW w:w="13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10"/>
        <w:gridCol w:w="2952"/>
        <w:gridCol w:w="2610"/>
        <w:gridCol w:w="2430"/>
        <w:gridCol w:w="2412"/>
      </w:tblGrid>
      <w:tr w:rsidR="00F16583" w:rsidRPr="000533F8" w:rsidTr="00E61A38">
        <w:tc>
          <w:tcPr>
            <w:tcW w:w="648" w:type="dxa"/>
          </w:tcPr>
          <w:p w:rsidR="00F16583" w:rsidRPr="00CB39CA" w:rsidRDefault="00F16583" w:rsidP="00275F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CA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610" w:type="dxa"/>
          </w:tcPr>
          <w:p w:rsidR="00F16583" w:rsidRPr="00CB39CA" w:rsidRDefault="00F16583" w:rsidP="00275F4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CA">
              <w:rPr>
                <w:rFonts w:ascii="Times New Roman" w:hAnsi="Times New Roman"/>
                <w:b/>
                <w:sz w:val="24"/>
                <w:szCs w:val="24"/>
              </w:rPr>
              <w:t xml:space="preserve">Tên tổ chức </w:t>
            </w:r>
          </w:p>
          <w:p w:rsidR="00F16583" w:rsidRPr="00CB39CA" w:rsidRDefault="00F16583" w:rsidP="00275F4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F16583" w:rsidRPr="00CB39CA" w:rsidRDefault="00F16583" w:rsidP="00275F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CA">
              <w:rPr>
                <w:rFonts w:ascii="Times New Roman" w:hAnsi="Times New Roman"/>
                <w:b/>
                <w:sz w:val="24"/>
                <w:szCs w:val="24"/>
              </w:rPr>
              <w:t>Địa chỉ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Tel, Fax, Email</w:t>
            </w:r>
          </w:p>
        </w:tc>
        <w:tc>
          <w:tcPr>
            <w:tcW w:w="2610" w:type="dxa"/>
          </w:tcPr>
          <w:p w:rsidR="00F16583" w:rsidRPr="00CB39CA" w:rsidRDefault="00F16583" w:rsidP="00275F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CA">
              <w:rPr>
                <w:rFonts w:ascii="Times New Roman" w:hAnsi="Times New Roman"/>
                <w:b/>
                <w:sz w:val="24"/>
                <w:szCs w:val="24"/>
              </w:rPr>
              <w:t>Địa chỉ cơ sở pha chế</w:t>
            </w:r>
          </w:p>
        </w:tc>
        <w:tc>
          <w:tcPr>
            <w:tcW w:w="2430" w:type="dxa"/>
          </w:tcPr>
          <w:p w:rsidR="00F16583" w:rsidRPr="00CB39CA" w:rsidRDefault="00F16583" w:rsidP="00275F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CA">
              <w:rPr>
                <w:rFonts w:ascii="Times New Roman" w:hAnsi="Times New Roman"/>
                <w:b/>
                <w:sz w:val="24"/>
                <w:szCs w:val="24"/>
              </w:rPr>
              <w:t>Loại xăng dầu pha chế</w:t>
            </w:r>
          </w:p>
        </w:tc>
        <w:tc>
          <w:tcPr>
            <w:tcW w:w="2412" w:type="dxa"/>
          </w:tcPr>
          <w:p w:rsidR="00F16583" w:rsidRPr="00CB39CA" w:rsidRDefault="00F16583" w:rsidP="00275F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Giấy chứng nhận</w:t>
            </w:r>
          </w:p>
        </w:tc>
      </w:tr>
      <w:tr w:rsidR="00B00219" w:rsidRPr="00DC720B" w:rsidTr="00F66C04">
        <w:tc>
          <w:tcPr>
            <w:tcW w:w="648" w:type="dxa"/>
            <w:vMerge w:val="restart"/>
            <w:vAlign w:val="center"/>
          </w:tcPr>
          <w:p w:rsidR="00B00219" w:rsidRPr="000641F4" w:rsidRDefault="00B00219" w:rsidP="00B00219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:rsidR="00B00219" w:rsidRPr="000B5D56" w:rsidRDefault="00B00219" w:rsidP="00B00219">
            <w:pPr>
              <w:pStyle w:val="Default"/>
              <w:spacing w:before="120" w:after="120"/>
              <w:jc w:val="both"/>
              <w:rPr>
                <w:b/>
              </w:rPr>
            </w:pPr>
            <w:r w:rsidRPr="000B5D56">
              <w:rPr>
                <w:b/>
              </w:rPr>
              <w:t>Công ty Cổ phần Thương mại Đầu tư Dầu khí Nam Sông Hậu</w:t>
            </w:r>
          </w:p>
          <w:p w:rsidR="00B00219" w:rsidRPr="000B5D56" w:rsidRDefault="00B00219" w:rsidP="00B00219">
            <w:pPr>
              <w:pStyle w:val="Default"/>
              <w:spacing w:before="120" w:after="120"/>
              <w:jc w:val="both"/>
              <w:rPr>
                <w:iCs/>
              </w:rPr>
            </w:pPr>
            <w:r w:rsidRPr="000B5D56">
              <w:tab/>
            </w:r>
          </w:p>
          <w:p w:rsidR="00B00219" w:rsidRPr="00400AD0" w:rsidRDefault="00B00219" w:rsidP="00B00219">
            <w:pPr>
              <w:pStyle w:val="Default"/>
              <w:spacing w:before="120" w:after="120"/>
              <w:jc w:val="both"/>
              <w:rPr>
                <w:iCs/>
              </w:rPr>
            </w:pPr>
          </w:p>
        </w:tc>
        <w:tc>
          <w:tcPr>
            <w:tcW w:w="2952" w:type="dxa"/>
            <w:vMerge w:val="restart"/>
            <w:vAlign w:val="center"/>
          </w:tcPr>
          <w:p w:rsidR="00B00219" w:rsidRDefault="00B00219" w:rsidP="00B0021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B5D56">
              <w:rPr>
                <w:rFonts w:ascii="Times New Roman" w:hAnsi="Times New Roman"/>
                <w:sz w:val="24"/>
                <w:szCs w:val="24"/>
              </w:rPr>
              <w:t>Ấp Phú Thạnh, thị trấn Mái Dầm, huyện Châu Thành, tỉnh Hậu Giang</w:t>
            </w:r>
          </w:p>
          <w:p w:rsidR="00B00219" w:rsidRDefault="00B00219" w:rsidP="00B00219">
            <w:pPr>
              <w:pStyle w:val="Default"/>
              <w:spacing w:before="120" w:after="120"/>
              <w:jc w:val="both"/>
            </w:pPr>
            <w:r>
              <w:t>ĐT</w:t>
            </w:r>
            <w:r w:rsidRPr="000B5D56">
              <w:t xml:space="preserve">: </w:t>
            </w:r>
            <w:r>
              <w:t>02926536688; 02923737226</w:t>
            </w:r>
            <w:r w:rsidRPr="000B5D56">
              <w:tab/>
            </w:r>
          </w:p>
          <w:p w:rsidR="00B00219" w:rsidRDefault="00B00219" w:rsidP="00B00219">
            <w:pPr>
              <w:pStyle w:val="Default"/>
              <w:spacing w:before="120" w:after="120"/>
              <w:jc w:val="both"/>
            </w:pPr>
            <w:r>
              <w:t xml:space="preserve">Fax: </w:t>
            </w:r>
            <w:r w:rsidRPr="00B00219">
              <w:t>02923843273; 0292.3737229</w:t>
            </w:r>
          </w:p>
          <w:p w:rsidR="00B00219" w:rsidRPr="00D46ABE" w:rsidRDefault="00846B15" w:rsidP="00B00219">
            <w:pPr>
              <w:pStyle w:val="Default"/>
              <w:spacing w:before="120" w:after="120"/>
              <w:jc w:val="both"/>
            </w:pPr>
            <w:hyperlink r:id="rId5" w:history="1">
              <w:r w:rsidR="00B00219" w:rsidRPr="008576F8">
                <w:rPr>
                  <w:rStyle w:val="Hyperlink"/>
                  <w:rFonts w:eastAsia="Times New Roman"/>
                  <w:sz w:val="28"/>
                  <w:szCs w:val="28"/>
                  <w:lang w:val="pt-BR"/>
                </w:rPr>
                <w:t>namsonghaupetro@gmail.com</w:t>
              </w:r>
            </w:hyperlink>
          </w:p>
        </w:tc>
        <w:tc>
          <w:tcPr>
            <w:tcW w:w="2610" w:type="dxa"/>
            <w:vMerge w:val="restart"/>
            <w:vAlign w:val="center"/>
          </w:tcPr>
          <w:p w:rsidR="00B00219" w:rsidRPr="004771CA" w:rsidRDefault="00B00219" w:rsidP="00B0021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C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hi nhánh Công ty CP Thương mại Đầu tư Dầu khí Nam Sông Hậu tại Cần Thơ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(Lô 2.7, khu công nghiệp Trà Nóc II, phường Phước Thới, quận Ô Môn, TP.Cần Thơ)</w:t>
            </w:r>
          </w:p>
        </w:tc>
        <w:tc>
          <w:tcPr>
            <w:tcW w:w="2430" w:type="dxa"/>
            <w:vAlign w:val="center"/>
          </w:tcPr>
          <w:p w:rsidR="00B00219" w:rsidRPr="00400AD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00AD0">
              <w:rPr>
                <w:rFonts w:ascii="Times New Roman" w:hAnsi="Times New Roman"/>
                <w:spacing w:val="-6"/>
                <w:sz w:val="24"/>
                <w:szCs w:val="24"/>
              </w:rPr>
              <w:t>Xăng không chì RON 95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D46ABE" w:rsidRDefault="00B00219" w:rsidP="00F66C0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N-TĐC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0219" w:rsidRPr="00D46ABE" w:rsidRDefault="00B00219" w:rsidP="00F66C04">
            <w:pPr>
              <w:spacing w:before="120" w:after="120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D46A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Giấy chứng nhận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>giá trị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năm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DC720B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400AD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00AD0">
              <w:rPr>
                <w:rFonts w:ascii="Times New Roman" w:hAnsi="Times New Roman"/>
                <w:spacing w:val="-6"/>
                <w:sz w:val="24"/>
                <w:szCs w:val="24"/>
              </w:rPr>
              <w:t>Xăng không chì RON 92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-II</w:t>
            </w:r>
          </w:p>
        </w:tc>
        <w:tc>
          <w:tcPr>
            <w:tcW w:w="2412" w:type="dxa"/>
            <w:vMerge/>
          </w:tcPr>
          <w:p w:rsidR="00B00219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E61A38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400AD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00AD0">
              <w:rPr>
                <w:rFonts w:ascii="Times New Roman" w:hAnsi="Times New Roman"/>
                <w:spacing w:val="-6"/>
                <w:sz w:val="24"/>
                <w:szCs w:val="24"/>
              </w:rPr>
              <w:t>Xăng  E5 RON 92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95-III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D46ABE" w:rsidRDefault="00B00219" w:rsidP="00B002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N-TĐC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0219" w:rsidRPr="00D46ABE" w:rsidRDefault="00B00219" w:rsidP="00B002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Giấy chứng nhận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>giá trị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năm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95-IV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92-III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 xml:space="preserve">Xăng không chì RON 92-IV 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 E5 RON 92-III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 E5 RON 92- IV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Nhiên liệu điêzen (DO), mức II, III, IV</w:t>
            </w:r>
          </w:p>
        </w:tc>
        <w:tc>
          <w:tcPr>
            <w:tcW w:w="2412" w:type="dxa"/>
            <w:vMerge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DC720B" w:rsidTr="00E61A38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Công ty Cổ phần Lọc hóa dầu Nam Sông Hậu Cái R</w:t>
            </w:r>
            <w:r w:rsidRPr="004771CA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pacing w:val="-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Khu công nghiệp Hưng Phú II, phường Phú Thứ, quận Cái Răng, thành phố Cần Thơ</w:t>
            </w:r>
          </w:p>
        </w:tc>
        <w:tc>
          <w:tcPr>
            <w:tcW w:w="2430" w:type="dxa"/>
            <w:vAlign w:val="center"/>
          </w:tcPr>
          <w:p w:rsidR="00B00219" w:rsidRPr="00474101" w:rsidRDefault="00B00219" w:rsidP="00275F4D">
            <w:pPr>
              <w:spacing w:before="120" w:after="120"/>
              <w:rPr>
                <w:rFonts w:ascii="Times New Roman" w:hAnsi="Times New Roman"/>
              </w:rPr>
            </w:pPr>
            <w:r w:rsidRPr="00474101">
              <w:rPr>
                <w:rFonts w:ascii="Times New Roman" w:hAnsi="Times New Roman"/>
              </w:rPr>
              <w:t>Xăng không chì RON 95</w:t>
            </w:r>
            <w:r>
              <w:rPr>
                <w:rFonts w:ascii="Times New Roman" w:hAnsi="Times New Roman"/>
              </w:rPr>
              <w:t xml:space="preserve"> - 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D46ABE" w:rsidRDefault="00B00219" w:rsidP="00B002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N-TĐC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0219" w:rsidRPr="00941E15" w:rsidRDefault="00B00219" w:rsidP="00B00219">
            <w:pPr>
              <w:jc w:val="both"/>
              <w:rPr>
                <w:rFonts w:ascii="Times New Roman" w:hAnsi="Times New Roman"/>
                <w:spacing w:val="-4"/>
              </w:rPr>
            </w:pP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Giấy chứng nhận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>giá trị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năm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DC720B" w:rsidTr="00E61A38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474101" w:rsidRDefault="00B00219" w:rsidP="00275F4D">
            <w:pPr>
              <w:spacing w:before="120" w:after="120"/>
              <w:rPr>
                <w:rFonts w:ascii="Times New Roman" w:hAnsi="Times New Roman"/>
              </w:rPr>
            </w:pPr>
            <w:r w:rsidRPr="00474101">
              <w:rPr>
                <w:rFonts w:ascii="Times New Roman" w:hAnsi="Times New Roman"/>
              </w:rPr>
              <w:t>Xăng không chì RON 92</w:t>
            </w:r>
            <w:r>
              <w:rPr>
                <w:rFonts w:ascii="Times New Roman" w:hAnsi="Times New Roman"/>
              </w:rPr>
              <w:t xml:space="preserve"> - II</w:t>
            </w:r>
          </w:p>
        </w:tc>
        <w:tc>
          <w:tcPr>
            <w:tcW w:w="2412" w:type="dxa"/>
            <w:vMerge/>
            <w:vAlign w:val="center"/>
          </w:tcPr>
          <w:p w:rsidR="00B00219" w:rsidRPr="00941E15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95-III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D46ABE" w:rsidRDefault="00B00219" w:rsidP="001725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3039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N-TĐC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0219" w:rsidRPr="00D46ABE" w:rsidRDefault="00B00219" w:rsidP="001725D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A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Giấy chứng nhận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>giá trị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năm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95-IV</w:t>
            </w:r>
          </w:p>
        </w:tc>
        <w:tc>
          <w:tcPr>
            <w:tcW w:w="2412" w:type="dxa"/>
            <w:vMerge/>
            <w:vAlign w:val="center"/>
          </w:tcPr>
          <w:p w:rsidR="00B00219" w:rsidRPr="00941E15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92-III</w:t>
            </w:r>
          </w:p>
        </w:tc>
        <w:tc>
          <w:tcPr>
            <w:tcW w:w="2412" w:type="dxa"/>
            <w:vMerge/>
            <w:vAlign w:val="center"/>
          </w:tcPr>
          <w:p w:rsidR="00B00219" w:rsidRPr="00941E15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Xăng không chì RON 92-IV</w:t>
            </w:r>
          </w:p>
        </w:tc>
        <w:tc>
          <w:tcPr>
            <w:tcW w:w="2412" w:type="dxa"/>
            <w:vMerge/>
            <w:vAlign w:val="center"/>
          </w:tcPr>
          <w:p w:rsidR="00B00219" w:rsidRPr="00941E15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B00219" w:rsidRPr="00DC720B" w:rsidTr="00B00219">
        <w:trPr>
          <w:trHeight w:val="1042"/>
        </w:trPr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</w:p>
        </w:tc>
        <w:tc>
          <w:tcPr>
            <w:tcW w:w="2952" w:type="dxa"/>
            <w:vMerge/>
          </w:tcPr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430" w:type="dxa"/>
            <w:vAlign w:val="center"/>
          </w:tcPr>
          <w:p w:rsidR="00B00219" w:rsidRPr="00B00219" w:rsidRDefault="00B00219" w:rsidP="00B00219">
            <w:pPr>
              <w:jc w:val="both"/>
              <w:rPr>
                <w:rFonts w:ascii="Times New Roman" w:hAnsi="Times New Roman"/>
              </w:rPr>
            </w:pPr>
            <w:r w:rsidRPr="00B00219">
              <w:rPr>
                <w:rFonts w:ascii="Times New Roman" w:hAnsi="Times New Roman"/>
              </w:rPr>
              <w:t>Nhiên liệu điêzen (DO), mức II, III, IV</w:t>
            </w:r>
          </w:p>
        </w:tc>
        <w:tc>
          <w:tcPr>
            <w:tcW w:w="2412" w:type="dxa"/>
            <w:vMerge/>
            <w:vAlign w:val="center"/>
          </w:tcPr>
          <w:p w:rsidR="00B00219" w:rsidRPr="00941E15" w:rsidRDefault="00B00219" w:rsidP="00275F4D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B00219" w:rsidRPr="00DC720B" w:rsidTr="00E61A38">
        <w:tc>
          <w:tcPr>
            <w:tcW w:w="648" w:type="dxa"/>
            <w:vMerge w:val="restart"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  <w:vMerge w:val="restart"/>
          </w:tcPr>
          <w:p w:rsidR="00B00219" w:rsidRPr="000B5D56" w:rsidRDefault="00B00219" w:rsidP="00275F4D">
            <w:pPr>
              <w:pStyle w:val="Default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Công ty TNHH MTV Lọc-Hóa dầu Bình Sơn</w:t>
            </w:r>
          </w:p>
        </w:tc>
        <w:tc>
          <w:tcPr>
            <w:tcW w:w="2952" w:type="dxa"/>
            <w:vMerge w:val="restart"/>
          </w:tcPr>
          <w:p w:rsidR="00B00219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Số 208 đại lộ Hùng Vương, TP.Quảng Ngãi, tỉnh Quảng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Ngãi</w:t>
            </w:r>
          </w:p>
          <w:p w:rsidR="00B00219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ĐT: 055.3825825</w:t>
            </w:r>
          </w:p>
          <w:p w:rsidR="00B00219" w:rsidRPr="000B5D56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Fax: 055 3825826</w:t>
            </w:r>
          </w:p>
        </w:tc>
        <w:tc>
          <w:tcPr>
            <w:tcW w:w="2610" w:type="dxa"/>
            <w:vMerge w:val="restart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Nhà máy lọc dầu Dung Quất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lastRenderedPageBreak/>
              <w:t>Xã Bình Trị, huyện Bình Sơn, tỉnh Quảng Ngãi</w:t>
            </w:r>
          </w:p>
        </w:tc>
        <w:tc>
          <w:tcPr>
            <w:tcW w:w="2430" w:type="dxa"/>
            <w:vAlign w:val="center"/>
          </w:tcPr>
          <w:p w:rsidR="00B00219" w:rsidRPr="00400AD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00AD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Xăng không chì RON 95</w:t>
            </w:r>
          </w:p>
        </w:tc>
        <w:tc>
          <w:tcPr>
            <w:tcW w:w="2412" w:type="dxa"/>
            <w:vMerge w:val="restart"/>
          </w:tcPr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N-TĐC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00219" w:rsidRPr="00D46ABE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D46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Giấy chứng nhận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>giá trị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63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năm</w:t>
            </w:r>
            <w:r w:rsidRPr="00D46ABE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952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0219" w:rsidRPr="00700519" w:rsidRDefault="00B00219" w:rsidP="00275F4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00AD0">
              <w:rPr>
                <w:rFonts w:ascii="Times New Roman" w:hAnsi="Times New Roman"/>
                <w:spacing w:val="-6"/>
                <w:sz w:val="24"/>
                <w:szCs w:val="24"/>
              </w:rPr>
              <w:t>Xăng không chì RON 92</w:t>
            </w:r>
          </w:p>
        </w:tc>
        <w:tc>
          <w:tcPr>
            <w:tcW w:w="2412" w:type="dxa"/>
            <w:vMerge/>
          </w:tcPr>
          <w:p w:rsidR="00B00219" w:rsidRPr="0047782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952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0219" w:rsidRPr="00D150C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0C0">
              <w:rPr>
                <w:rFonts w:ascii="Times New Roman" w:hAnsi="Times New Roman"/>
                <w:sz w:val="24"/>
                <w:szCs w:val="24"/>
              </w:rPr>
              <w:t>Nhiên liệu điêzen (DO)</w:t>
            </w:r>
          </w:p>
        </w:tc>
        <w:tc>
          <w:tcPr>
            <w:tcW w:w="2412" w:type="dxa"/>
            <w:vMerge/>
          </w:tcPr>
          <w:p w:rsidR="00B00219" w:rsidRPr="0047782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952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0219" w:rsidRPr="00D150C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0C0">
              <w:rPr>
                <w:rFonts w:ascii="Times New Roman" w:hAnsi="Times New Roman"/>
                <w:sz w:val="24"/>
                <w:szCs w:val="24"/>
              </w:rPr>
              <w:t>Dầu hỏa dân dụng (KO)</w:t>
            </w:r>
          </w:p>
        </w:tc>
        <w:tc>
          <w:tcPr>
            <w:tcW w:w="2412" w:type="dxa"/>
            <w:vMerge/>
          </w:tcPr>
          <w:p w:rsidR="00B00219" w:rsidRPr="0047782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952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B00219" w:rsidRPr="00D150C0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0C0">
              <w:rPr>
                <w:rFonts w:ascii="Times New Roman" w:hAnsi="Times New Roman"/>
                <w:sz w:val="24"/>
                <w:szCs w:val="24"/>
              </w:rPr>
              <w:t>Nhiên liệu đốt lò (FO)</w:t>
            </w:r>
          </w:p>
        </w:tc>
        <w:tc>
          <w:tcPr>
            <w:tcW w:w="2412" w:type="dxa"/>
            <w:vMerge/>
          </w:tcPr>
          <w:p w:rsidR="00B00219" w:rsidRPr="0047782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0219" w:rsidRPr="000533F8" w:rsidTr="00E61A38">
        <w:tc>
          <w:tcPr>
            <w:tcW w:w="648" w:type="dxa"/>
            <w:vMerge w:val="restart"/>
            <w:vAlign w:val="center"/>
          </w:tcPr>
          <w:p w:rsidR="00B00219" w:rsidRPr="00A65858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05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  <w:vMerge w:val="restart"/>
            <w:vAlign w:val="center"/>
          </w:tcPr>
          <w:p w:rsidR="00B00219" w:rsidRPr="00CE32EE" w:rsidRDefault="00B00219" w:rsidP="00275F4D">
            <w:pPr>
              <w:pStyle w:val="Default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CE32EE">
              <w:rPr>
                <w:b/>
              </w:rPr>
              <w:t>Tập đoàn Xăng dầu Việt Nam</w:t>
            </w:r>
          </w:p>
        </w:tc>
        <w:tc>
          <w:tcPr>
            <w:tcW w:w="2952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>ố 01 Khâm Thiên, quận Đống Đa, thành phố Hà Nội</w:t>
            </w:r>
          </w:p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>: 04.38512603</w:t>
            </w:r>
          </w:p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Fax: 04.38519203</w:t>
            </w:r>
          </w:p>
        </w:tc>
        <w:tc>
          <w:tcPr>
            <w:tcW w:w="2610" w:type="dxa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1. Công ty Xăng dầu khu vực I - TNHH Một thành viên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26 Đức Giang, quận Long Biên, thành phố Hà Nội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58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1577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 xml:space="preserve">/ GCN-TĐC ngày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>/2016</w:t>
            </w:r>
          </w:p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 xml:space="preserve"> (Giấy chứng nhận có </w:t>
            </w:r>
            <w:r w:rsidRPr="00F40582">
              <w:rPr>
                <w:rFonts w:ascii="Times New Roman" w:hAnsi="Times New Roman"/>
                <w:b/>
                <w:i/>
                <w:sz w:val="24"/>
                <w:szCs w:val="24"/>
              </w:rPr>
              <w:t>giá trị 03 năm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A65858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10" w:type="dxa"/>
            <w:vMerge/>
          </w:tcPr>
          <w:p w:rsidR="00B00219" w:rsidRPr="00A65858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bCs w:val="0"/>
                <w:sz w:val="26"/>
                <w:szCs w:val="26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2. Công ty Xăng dầu khu vực II - TNHH Một thành viên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15 Lê Duẩn, quận 1, thành phố Hồ Chí Minh; Cơ sở pha chế: Tổng kho xăng dầu Nhà Bè, khu phố 6, thị trấn Nhà Bè, huyện Nhà Bè, thành phố Hồ Chí Minh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A65858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10" w:type="dxa"/>
            <w:vMerge/>
          </w:tcPr>
          <w:p w:rsidR="00B00219" w:rsidRPr="00A65858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bCs w:val="0"/>
                <w:sz w:val="26"/>
                <w:szCs w:val="26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3. Công ty Xăng dầu khu vực III - TNHH Một thành viên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01 Sở Dầu, quận Hồng Bàng, thành phốHải Phòng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A65858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10" w:type="dxa"/>
            <w:vMerge/>
          </w:tcPr>
          <w:p w:rsidR="00B00219" w:rsidRPr="00A65858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bCs w:val="0"/>
                <w:sz w:val="26"/>
                <w:szCs w:val="26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4. Công ty Xăng dầu khu vực V - TNHH Một thành viên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122 đường 2/9, phường Bình Thuận, quận Hải Châu, thành phố Đà Nẵng; Cơ sở pha chế: Số 77 Lê Văn Hiến, quận Ngũ Hành Sơn, thành phốĐà Nẵng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A65858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10" w:type="dxa"/>
            <w:vMerge/>
          </w:tcPr>
          <w:p w:rsidR="00B00219" w:rsidRPr="00A65858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bCs w:val="0"/>
                <w:sz w:val="26"/>
                <w:szCs w:val="26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 xml:space="preserve">5. Công ty TNHH Một thành viên Xăng dầu Tây Nam Bộ 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21 Cách Mạng Tháng Tám, quận Ninh Kiều, thành phốCần Thơ; Cơ sở pha chế: Khu công nghiệp Trà Nóc 2, phường Phước Thới, quận Ô Môn, thành phố Cần Thơ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00219" w:rsidRPr="000533F8" w:rsidTr="00E61A38">
        <w:tc>
          <w:tcPr>
            <w:tcW w:w="648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05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rPr>
                <w:rFonts w:ascii="Times New Roman" w:hAnsi="Times New Roman"/>
                <w:b/>
                <w:bCs w:val="0"/>
                <w:sz w:val="26"/>
                <w:szCs w:val="26"/>
              </w:rPr>
            </w:pPr>
            <w:r w:rsidRPr="00F40582">
              <w:rPr>
                <w:rFonts w:ascii="Times New Roman" w:hAnsi="Times New Roman"/>
                <w:b/>
                <w:bCs w:val="0"/>
                <w:sz w:val="26"/>
                <w:szCs w:val="26"/>
              </w:rPr>
              <w:t>Tổng Công ty Dầu Việt Nam – Công ty TNHH Một thành viên</w:t>
            </w:r>
          </w:p>
        </w:tc>
        <w:tc>
          <w:tcPr>
            <w:tcW w:w="2952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Tầng 1417, tòa nhà PetroVietnam Tower, số 1-5 Lê Duẩn, phường Bến Nghé, Quận 1-TP.Hồ Chí Minh</w:t>
            </w:r>
          </w:p>
        </w:tc>
        <w:tc>
          <w:tcPr>
            <w:tcW w:w="2610" w:type="dxa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 xml:space="preserve">1. Chi nhánh Tổng Công ty Dầu Việt Nam - Công ty TNHH Một thành viên - Xí nghiệp Tổng kho xăng dầu Đình Vũ 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Lô F6, khu công nghiệp Đình Vũ, phường Đông Hải 2, quận Hải An, thành phốHải Phòng</w:t>
            </w:r>
          </w:p>
        </w:tc>
        <w:tc>
          <w:tcPr>
            <w:tcW w:w="2430" w:type="dxa"/>
            <w:vAlign w:val="center"/>
          </w:tcPr>
          <w:p w:rsidR="00B00219" w:rsidRPr="00D76E0E" w:rsidRDefault="00B00219" w:rsidP="00275F4D">
            <w:pPr>
              <w:spacing w:before="60" w:after="6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D76E0E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- Xăng  E5 RON 92 - II</w:t>
            </w:r>
          </w:p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- Xăng không chì RON 92 - 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2766/ GCN-TĐC ngày 29/11/2016</w:t>
            </w:r>
          </w:p>
          <w:p w:rsidR="00B00219" w:rsidRPr="00F40582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 xml:space="preserve"> (Giấy chứng nhận có </w:t>
            </w:r>
            <w:r w:rsidRPr="00F40582">
              <w:rPr>
                <w:rFonts w:ascii="Times New Roman" w:hAnsi="Times New Roman"/>
                <w:b/>
                <w:i/>
                <w:sz w:val="24"/>
                <w:szCs w:val="24"/>
              </w:rPr>
              <w:t>giá trị 03 năm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0533F8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0641F4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Cs w:val="0"/>
                <w:sz w:val="26"/>
                <w:szCs w:val="26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 xml:space="preserve">2. Công ty Cổ phần Xăng dầu Dầu khí 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Thái Bình</w:t>
            </w:r>
          </w:p>
          <w:p w:rsidR="00B00219" w:rsidRPr="004771CA" w:rsidRDefault="00B00219" w:rsidP="00275F4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trụ sở:</w:t>
            </w:r>
          </w:p>
          <w:p w:rsidR="00B00219" w:rsidRPr="004771CA" w:rsidRDefault="00B00219" w:rsidP="00275F4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545, đường Trần Lãm, phường Trần Lãm, thành phố Thái Bình, tỉnh Thái Bình.</w:t>
            </w:r>
          </w:p>
          <w:p w:rsidR="00B00219" w:rsidRPr="004771CA" w:rsidRDefault="00B00219" w:rsidP="00275F4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cơ sở pha chế:</w:t>
            </w:r>
          </w:p>
          <w:p w:rsidR="00B00219" w:rsidRPr="004771CA" w:rsidRDefault="00B00219" w:rsidP="00275F4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Thôn Trung Hồng, xã Hòa Bình, huyện Vũ Thư, tỉnh Thái Bình.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lastRenderedPageBreak/>
              <w:t>- Xăng không chì RON 92 - II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 xml:space="preserve">3. Công ty Cổ phần Xăng dầu Dầu khí  Vũng Áng 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- Địa chỉ trụ sở: 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417 đường Trần Phú, phường Thạch Linh, thành phố Hà Tĩnh, tỉnh Hà Tĩnh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cơ sở pha chế: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Khu kinh tế Vũng Áng, xã Kỳ Lợi, thị xã Kỳ Anh, tỉnh Hà Tĩnh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không chì RON 92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4. Công ty CP Xăng dầu Dầu khí PV OIL Miền Trung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- Địa chỉ trụ sở: 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92-94 đường Lê Trung Đình, phường Nguyễn Nghiêm, thành phố Quảng Ngãi, tỉnh Quảng Ngãi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cơ sở pha chế: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Số 414 Nguyễn Văn Cừ, phường Hòa Hiệp Bắc, </w:t>
            </w:r>
            <w:r w:rsidRPr="004771CA">
              <w:rPr>
                <w:rFonts w:ascii="Times New Roman" w:hAnsi="Times New Roman"/>
                <w:sz w:val="24"/>
                <w:szCs w:val="24"/>
              </w:rPr>
              <w:lastRenderedPageBreak/>
              <w:t>quận Liên Chiểu, thành phố Đà Nẵng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lastRenderedPageBreak/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5. Chi nhánh Tổng Công ty Dầu Việt Nam - Công ty TNHH Một thành viên tại Quảng Ngãi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Khu kinh tế Dung Quất, xã Bình Thuận, huyện Bình Sơn, tỉnh Quảng Ngãi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6. Công ty Cổ phần Xăng dầu Dầu khí Phú Yên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- Địa chỉ trụ sở: 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157-159 Hùng Vương, Phường 5, Thành phố Tuy Hòa, Tỉnh Phú Yên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cơ sở pha chế: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Thôn Vũng Rô, xã Hòa Xuân Nam, huyện Đông Hòa, tỉnh Phú Yên 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7. Công ty Cổ phần Dầu khí Mê Kông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trụ sở: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45A-47 đường 30/4, phường An Lạc, quận Ninh Kiều, thành phố Cần Thơ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- Địa chỉ cơ sở pha chế: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Khu công nghiệp Hưng Phú, khu vực Thạch Thắng, phường Phú Thứ, quận Cái Răng, </w:t>
            </w:r>
            <w:r w:rsidRPr="004771CA">
              <w:rPr>
                <w:rFonts w:ascii="Times New Roman" w:hAnsi="Times New Roman"/>
                <w:sz w:val="24"/>
                <w:szCs w:val="24"/>
              </w:rPr>
              <w:lastRenderedPageBreak/>
              <w:t>thành phố Cần Thơ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lastRenderedPageBreak/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 xml:space="preserve">- Xăng không chì RON 92 - II 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tabs>
                <w:tab w:val="left" w:pos="155"/>
              </w:tabs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8. Chi nhánh Tổng Công ty Dầu Việt Nam - Công ty TNHH Một thành viên - Xí nghiệp Tổng kho xăng dầu Miền Đông</w:t>
            </w:r>
          </w:p>
          <w:p w:rsidR="00B00219" w:rsidRPr="004771CA" w:rsidRDefault="00B00219" w:rsidP="00275F4D">
            <w:pPr>
              <w:tabs>
                <w:tab w:val="left" w:pos="155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Số 54 B, đường 30/4 phường Thắng Nhất, thành phố Vũng Tàu, tỉnh Bà Rịa Vũng Tàu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không chì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Nhiên liệu điêzen (DO)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9. Công ty Cổ phần Sản xuất và Chế biến Dầu khí Phú Mỹ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Khu công nghiệp Cái Mép, xã Tân Phước, huyện Tân Thành, tỉnh Bà Rịa  Vũng Tàu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không chì RON 92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E8036C" w:rsidTr="00E61A38">
        <w:tc>
          <w:tcPr>
            <w:tcW w:w="648" w:type="dxa"/>
            <w:vMerge/>
          </w:tcPr>
          <w:p w:rsidR="00B00219" w:rsidRPr="000641F4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B00219" w:rsidRPr="00275980" w:rsidRDefault="00B00219" w:rsidP="00275F4D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10. Chi nhánh Tổng Công ty Dầu Việt Nam - Công ty TNHH Một thành viên - Xí nghiệp Tổng kho xăng dầu Nhà Bè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Ấp 4, xã Phú Xuân, huyện Nhà Bè, thành phốHồ Chí Minh</w:t>
            </w:r>
          </w:p>
        </w:tc>
        <w:tc>
          <w:tcPr>
            <w:tcW w:w="2430" w:type="dxa"/>
            <w:vAlign w:val="center"/>
          </w:tcPr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 E5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82">
              <w:rPr>
                <w:rFonts w:ascii="Times New Roman" w:hAnsi="Times New Roman"/>
                <w:sz w:val="24"/>
                <w:szCs w:val="24"/>
              </w:rPr>
              <w:t>- Xăng không chì RON 92 - II</w:t>
            </w:r>
          </w:p>
          <w:p w:rsidR="00B00219" w:rsidRPr="00F40582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582">
              <w:rPr>
                <w:rFonts w:ascii="Times New Roman" w:hAnsi="Times New Roman"/>
                <w:sz w:val="24"/>
                <w:szCs w:val="24"/>
              </w:rPr>
              <w:t>Nhiên liệu điêzen (DO)</w:t>
            </w:r>
          </w:p>
        </w:tc>
        <w:tc>
          <w:tcPr>
            <w:tcW w:w="2412" w:type="dxa"/>
            <w:vMerge/>
          </w:tcPr>
          <w:p w:rsidR="00B00219" w:rsidRPr="00F40582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4771CA" w:rsidTr="00E61A38">
        <w:tc>
          <w:tcPr>
            <w:tcW w:w="648" w:type="dxa"/>
            <w:vMerge w:val="restart"/>
          </w:tcPr>
          <w:p w:rsidR="00B00219" w:rsidRPr="004771CA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restart"/>
            <w:vAlign w:val="center"/>
          </w:tcPr>
          <w:p w:rsidR="00B00219" w:rsidRPr="004771CA" w:rsidRDefault="00B00219" w:rsidP="00804DF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Công ty TNHH Một thành viên Tổng Công ty Xăng dầu Quân đội</w:t>
            </w:r>
          </w:p>
          <w:p w:rsidR="00B00219" w:rsidRPr="004771CA" w:rsidRDefault="00B00219" w:rsidP="00804DFC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52" w:type="dxa"/>
            <w:vMerge w:val="restart"/>
            <w:vAlign w:val="center"/>
          </w:tcPr>
          <w:p w:rsidR="00B00219" w:rsidRPr="004771CA" w:rsidRDefault="00B00219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Địa chỉ trụ sở: số 33B Phạm Ngũ Lão, quận Hoàn Kiếm, thành phố Hà Nội.</w:t>
            </w:r>
          </w:p>
          <w:p w:rsidR="00B00219" w:rsidRPr="004771CA" w:rsidRDefault="00B00219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ĐT: 04.37567880</w:t>
            </w:r>
            <w:r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ab/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Fax: 04.37567858</w:t>
            </w:r>
          </w:p>
          <w:p w:rsidR="00B00219" w:rsidRPr="004771CA" w:rsidRDefault="00B00219" w:rsidP="00275F4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Default="00B00219" w:rsidP="004771CA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Công ty Xăng dầu Quân đội khu vực 1</w:t>
            </w:r>
          </w:p>
          <w:p w:rsidR="00B00219" w:rsidRPr="004771CA" w:rsidRDefault="00B00219" w:rsidP="004771CA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Khu Hạ Đoạn 2, phường Đông Hải 2, quận Hải An, thành phố Hải Phòng</w:t>
            </w:r>
          </w:p>
        </w:tc>
        <w:tc>
          <w:tcPr>
            <w:tcW w:w="2430" w:type="dxa"/>
            <w:vAlign w:val="center"/>
          </w:tcPr>
          <w:p w:rsidR="00B00219" w:rsidRPr="004771CA" w:rsidRDefault="00B00219" w:rsidP="00275F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4771CA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293/GCN-TĐC ngày 17/02/2017</w:t>
            </w:r>
          </w:p>
          <w:p w:rsidR="00B00219" w:rsidRPr="004771CA" w:rsidRDefault="00B00219" w:rsidP="00E61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(Giấy chứng nhận có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giá trị</w:t>
            </w:r>
            <w:r w:rsidRPr="004771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 năm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kể từ ngày ký)</w:t>
            </w:r>
          </w:p>
        </w:tc>
      </w:tr>
      <w:tr w:rsidR="00B00219" w:rsidRPr="004771CA" w:rsidTr="00E61A38">
        <w:tc>
          <w:tcPr>
            <w:tcW w:w="648" w:type="dxa"/>
            <w:vMerge/>
          </w:tcPr>
          <w:p w:rsidR="00B00219" w:rsidRPr="004771CA" w:rsidRDefault="00B00219" w:rsidP="00275F4D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B00219" w:rsidRPr="004771CA" w:rsidRDefault="00B00219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4771CA" w:rsidRDefault="00B00219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Công ty Xăng dầu Quân đội khu vực 2</w:t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Km 914 quốc lộ 1A, ph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ờng Hòa Hiệp Bắc, quận Liên Chiểu, thành phố 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Đà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Nẵng</w:t>
            </w:r>
          </w:p>
        </w:tc>
        <w:tc>
          <w:tcPr>
            <w:tcW w:w="243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Xăng  E5 RON 92 - II</w:t>
            </w:r>
          </w:p>
        </w:tc>
        <w:tc>
          <w:tcPr>
            <w:tcW w:w="2412" w:type="dxa"/>
            <w:vMerge/>
            <w:vAlign w:val="center"/>
          </w:tcPr>
          <w:p w:rsidR="00B00219" w:rsidRPr="004771CA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19" w:rsidRPr="004771CA" w:rsidTr="00E61A38">
        <w:tc>
          <w:tcPr>
            <w:tcW w:w="648" w:type="dxa"/>
            <w:vMerge w:val="restart"/>
          </w:tcPr>
          <w:p w:rsidR="00B00219" w:rsidRPr="004771CA" w:rsidRDefault="00B00219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vMerge w:val="restart"/>
            <w:vAlign w:val="center"/>
          </w:tcPr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Công ty TNHH M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ộ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t th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à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nh vi</w:t>
            </w:r>
            <w:r w:rsidRPr="004771CA">
              <w:rPr>
                <w:rFonts w:ascii="Times New Roman" w:eastAsia="Calibri" w:hAnsi="Times New Roman" w:cs=".VnTime"/>
                <w:b/>
                <w:bCs w:val="0"/>
                <w:iCs w:val="0"/>
                <w:color w:val="000000"/>
                <w:sz w:val="24"/>
                <w:szCs w:val="24"/>
              </w:rPr>
              <w:t>ê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n Th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ươ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ng m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ạ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i D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ầ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u kh</w:t>
            </w:r>
            <w:r w:rsidRPr="004771CA">
              <w:rPr>
                <w:rFonts w:ascii="Times New Roman" w:eastAsia="Calibri" w:hAnsi="Times New Roman" w:cs=".VnTime"/>
                <w:b/>
                <w:bCs w:val="0"/>
                <w:iCs w:val="0"/>
                <w:color w:val="000000"/>
                <w:sz w:val="24"/>
                <w:szCs w:val="24"/>
              </w:rPr>
              <w:t>í</w:t>
            </w:r>
            <w:r w:rsidRPr="004771CA">
              <w:rPr>
                <w:rFonts w:ascii="Times New Roman" w:eastAsia="Calibri" w:hAnsi="Times New Roman" w:cs="Arial"/>
                <w:b/>
                <w:bCs w:val="0"/>
                <w:iCs w:val="0"/>
                <w:color w:val="000000"/>
                <w:sz w:val="24"/>
                <w:szCs w:val="24"/>
              </w:rPr>
              <w:t>Đồ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ng Th</w:t>
            </w:r>
            <w:r w:rsidRPr="004771CA">
              <w:rPr>
                <w:rFonts w:ascii="Times New Roman" w:eastAsia="Calibri" w:hAnsi="Times New Roman" w:cs=".VnTime"/>
                <w:b/>
                <w:bCs w:val="0"/>
                <w:iCs w:val="0"/>
                <w:color w:val="000000"/>
                <w:sz w:val="24"/>
                <w:szCs w:val="24"/>
              </w:rPr>
              <w:t>á</w:t>
            </w:r>
            <w:r w:rsidRPr="004771CA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p</w:t>
            </w:r>
          </w:p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vAlign w:val="center"/>
          </w:tcPr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</w:pP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Đị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a ch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ỉ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tr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ụ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s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ở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: s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ố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140 Qu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ố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c l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ộ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30 ph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ườ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ng M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ỹ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Ph</w:t>
            </w:r>
            <w:r w:rsidRPr="004771CA">
              <w:rPr>
                <w:rFonts w:ascii="Times New Roman" w:eastAsia="Calibri" w:hAnsi="Times New Roman" w:cs=".VnTime"/>
                <w:bCs w:val="0"/>
                <w:iCs w:val="0"/>
                <w:color w:val="000000"/>
                <w:sz w:val="24"/>
                <w:szCs w:val="24"/>
              </w:rPr>
              <w:t>ú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, th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à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nh ph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ố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 Cao L</w:t>
            </w:r>
            <w:r w:rsidRPr="004771CA">
              <w:rPr>
                <w:rFonts w:ascii="Times New Roman" w:eastAsia="Calibri" w:hAnsi="Times New Roman" w:cs=".VnTime"/>
                <w:bCs w:val="0"/>
                <w:iCs w:val="0"/>
                <w:color w:val="000000"/>
                <w:sz w:val="24"/>
                <w:szCs w:val="24"/>
              </w:rPr>
              <w:t>ã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nh, t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ỉ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 xml:space="preserve">nh </w:t>
            </w:r>
            <w:r w:rsidRPr="004771CA"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  <w:t>Đồ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ng Th</w:t>
            </w:r>
            <w:r w:rsidRPr="004771CA">
              <w:rPr>
                <w:rFonts w:ascii="Times New Roman" w:eastAsia="Calibri" w:hAnsi="Times New Roman" w:cs=".VnTime"/>
                <w:bCs w:val="0"/>
                <w:iCs w:val="0"/>
                <w:color w:val="000000"/>
                <w:sz w:val="24"/>
                <w:szCs w:val="24"/>
              </w:rPr>
              <w:t>á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p.</w:t>
            </w:r>
          </w:p>
          <w:p w:rsidR="00B00219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ĐT</w:t>
            </w: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: 0277.3851056</w:t>
            </w:r>
          </w:p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4771CA">
              <w:rPr>
                <w:rFonts w:ascii="Times New Roman" w:eastAsia="Calibri" w:hAnsi="Times New Roman"/>
                <w:bCs w:val="0"/>
                <w:iCs w:val="0"/>
                <w:color w:val="000000"/>
                <w:sz w:val="24"/>
                <w:szCs w:val="24"/>
              </w:rPr>
              <w:t>Fax: 0277.3851056</w:t>
            </w:r>
          </w:p>
        </w:tc>
        <w:tc>
          <w:tcPr>
            <w:tcW w:w="2610" w:type="dxa"/>
            <w:vAlign w:val="center"/>
          </w:tcPr>
          <w:p w:rsidR="00B00219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Chi nhánh Công ty TNHH Một thành viên Th</w:t>
            </w:r>
            <w:r w:rsidRPr="004771CA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 xml:space="preserve">ng mại Dầu khí </w:t>
            </w:r>
            <w:r w:rsidRPr="004771CA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ồng Tháp - Tổng kho x</w:t>
            </w:r>
            <w:r w:rsidRPr="004771CA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4771CA">
              <w:rPr>
                <w:rFonts w:ascii="Times New Roman" w:hAnsi="Times New Roman"/>
                <w:b/>
                <w:sz w:val="24"/>
                <w:szCs w:val="24"/>
              </w:rPr>
              <w:t>ng dầu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ã Ph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ớc Khánh, huyện Nh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n Trạch, tỉnh 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ồng Nai</w:t>
            </w:r>
          </w:p>
        </w:tc>
        <w:tc>
          <w:tcPr>
            <w:tcW w:w="243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X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  E5 RON 92 - II</w:t>
            </w:r>
          </w:p>
        </w:tc>
        <w:tc>
          <w:tcPr>
            <w:tcW w:w="2412" w:type="dxa"/>
            <w:vMerge w:val="restart"/>
            <w:vAlign w:val="center"/>
          </w:tcPr>
          <w:p w:rsidR="00B00219" w:rsidRPr="004771CA" w:rsidRDefault="00B00219" w:rsidP="009D7E9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2905/GCN-T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C ng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10/11/2017</w:t>
            </w:r>
          </w:p>
          <w:p w:rsidR="00B00219" w:rsidRPr="004771CA" w:rsidRDefault="00B00219" w:rsidP="009D7E9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(Gi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ấ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ch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ứ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 nh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ậ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 c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ó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gi</w:t>
            </w:r>
            <w:r w:rsidRPr="00E61A38">
              <w:rPr>
                <w:rFonts w:ascii="Times New Roman" w:hAnsi="Times New Roman" w:cs=".VnTime"/>
                <w:b/>
                <w:i/>
                <w:sz w:val="24"/>
                <w:szCs w:val="24"/>
              </w:rPr>
              <w:t>á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ị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 n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ă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ừ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k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ý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219" w:rsidRPr="004771CA" w:rsidTr="00E61A38">
        <w:tc>
          <w:tcPr>
            <w:tcW w:w="648" w:type="dxa"/>
            <w:vMerge/>
          </w:tcPr>
          <w:p w:rsidR="00B00219" w:rsidRPr="004771CA" w:rsidRDefault="00B00219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vAlign w:val="center"/>
          </w:tcPr>
          <w:p w:rsidR="00B00219" w:rsidRPr="004771CA" w:rsidRDefault="00B00219" w:rsidP="009D7E91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 w:cs="Arial"/>
                <w:bCs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00219" w:rsidRPr="00E61A38" w:rsidRDefault="00B00219" w:rsidP="004771CA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61A38">
              <w:rPr>
                <w:rFonts w:ascii="Times New Roman" w:hAnsi="Times New Roman"/>
                <w:b/>
                <w:sz w:val="24"/>
                <w:szCs w:val="24"/>
              </w:rPr>
              <w:t>Chi nhánh Công ty TNHH Một thành viên Th</w:t>
            </w:r>
            <w:r w:rsidRPr="00E61A38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E61A38">
              <w:rPr>
                <w:rFonts w:ascii="Times New Roman" w:hAnsi="Times New Roman"/>
                <w:b/>
                <w:sz w:val="24"/>
                <w:szCs w:val="24"/>
              </w:rPr>
              <w:t xml:space="preserve">ng mại Dầu khí </w:t>
            </w:r>
            <w:r w:rsidRPr="00E61A38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E61A38">
              <w:rPr>
                <w:rFonts w:ascii="Times New Roman" w:hAnsi="Times New Roman"/>
                <w:b/>
                <w:sz w:val="24"/>
                <w:szCs w:val="24"/>
              </w:rPr>
              <w:t>ồng Tháp - Tổng kho x</w:t>
            </w:r>
            <w:r w:rsidRPr="00E61A38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E61A38">
              <w:rPr>
                <w:rFonts w:ascii="Times New Roman" w:hAnsi="Times New Roman"/>
                <w:b/>
                <w:sz w:val="24"/>
                <w:szCs w:val="24"/>
              </w:rPr>
              <w:t>ng dầu Tân Phú Thạnh</w:t>
            </w:r>
            <w:r w:rsidRPr="00E61A3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B00219" w:rsidRPr="004771CA" w:rsidRDefault="00B00219" w:rsidP="004771CA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106, quốc lộ 1A, khu vực 2, ph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ờng Ba Láng, quận Cái R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ng, thành phố Cần Th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ơ</w:t>
            </w:r>
          </w:p>
        </w:tc>
        <w:tc>
          <w:tcPr>
            <w:tcW w:w="2430" w:type="dxa"/>
            <w:vAlign w:val="center"/>
          </w:tcPr>
          <w:p w:rsidR="00B00219" w:rsidRPr="004771CA" w:rsidRDefault="00B00219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X</w:t>
            </w:r>
            <w:r w:rsidRPr="004771CA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  E5 RON 92 - II</w:t>
            </w:r>
          </w:p>
        </w:tc>
        <w:tc>
          <w:tcPr>
            <w:tcW w:w="2412" w:type="dxa"/>
            <w:vMerge/>
            <w:vAlign w:val="center"/>
          </w:tcPr>
          <w:p w:rsidR="00B00219" w:rsidRPr="004771CA" w:rsidRDefault="00B00219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4B" w:rsidRPr="004771CA" w:rsidTr="006F05F2">
        <w:tc>
          <w:tcPr>
            <w:tcW w:w="648" w:type="dxa"/>
            <w:vMerge w:val="restart"/>
          </w:tcPr>
          <w:p w:rsidR="00D0444B" w:rsidRPr="004771CA" w:rsidRDefault="00D0444B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vMerge w:val="restart"/>
            <w:vAlign w:val="center"/>
          </w:tcPr>
          <w:p w:rsidR="00D0444B" w:rsidRPr="006F05F2" w:rsidRDefault="00D0444B" w:rsidP="00F65D8B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  <w:r w:rsidRPr="006F05F2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Tổng Công ty Th</w:t>
            </w:r>
            <w:r w:rsidRPr="006F05F2">
              <w:rPr>
                <w:rFonts w:ascii="Times New Roman" w:eastAsia="Calibri" w:hAnsi="Times New Roman" w:hint="eastAsia"/>
                <w:b/>
                <w:bCs w:val="0"/>
                <w:iCs w:val="0"/>
                <w:color w:val="000000"/>
                <w:sz w:val="24"/>
                <w:szCs w:val="24"/>
              </w:rPr>
              <w:t>ươ</w:t>
            </w:r>
            <w:r w:rsidRPr="006F05F2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ng mại Xuất nhập khẩu Thanh Lễ TNHH Một thành viên</w:t>
            </w:r>
          </w:p>
        </w:tc>
        <w:tc>
          <w:tcPr>
            <w:tcW w:w="2952" w:type="dxa"/>
            <w:vMerge w:val="restart"/>
            <w:vAlign w:val="center"/>
          </w:tcPr>
          <w:p w:rsidR="00D0444B" w:rsidRPr="006F05F2" w:rsidRDefault="00D0444B" w:rsidP="00F65D8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6F05F2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Số 63, đường Yersin, phường Hiệp Thành, TP Thủ Dầu Một, tỉnh Bình Dương</w:t>
            </w:r>
          </w:p>
          <w:p w:rsidR="00D0444B" w:rsidRPr="006F05F2" w:rsidRDefault="00D0444B" w:rsidP="00F65D8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6F05F2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ĐT: 0650.3829534</w:t>
            </w:r>
          </w:p>
          <w:p w:rsidR="00D0444B" w:rsidRPr="006F05F2" w:rsidRDefault="00D0444B" w:rsidP="00F65D8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6F05F2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Fax: 0650.3824112</w:t>
            </w:r>
          </w:p>
        </w:tc>
        <w:tc>
          <w:tcPr>
            <w:tcW w:w="2610" w:type="dxa"/>
            <w:vAlign w:val="center"/>
          </w:tcPr>
          <w:p w:rsidR="00D0444B" w:rsidRPr="006F05F2" w:rsidRDefault="00D0444B" w:rsidP="006F05F2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2">
              <w:rPr>
                <w:rFonts w:ascii="Times New Roman" w:hAnsi="Times New Roman"/>
                <w:b/>
                <w:sz w:val="24"/>
                <w:szCs w:val="24"/>
              </w:rPr>
              <w:t>1. Tổng kho x</w:t>
            </w:r>
            <w:r w:rsidRPr="006F05F2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6F05F2">
              <w:rPr>
                <w:rFonts w:ascii="Times New Roman" w:hAnsi="Times New Roman"/>
                <w:b/>
                <w:sz w:val="24"/>
                <w:szCs w:val="24"/>
              </w:rPr>
              <w:t>ng dầu VK 102 Nhà Bè</w:t>
            </w:r>
          </w:p>
          <w:p w:rsidR="00D0444B" w:rsidRPr="006F05F2" w:rsidRDefault="00D0444B" w:rsidP="006F05F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5F2">
              <w:rPr>
                <w:rFonts w:ascii="Times New Roman" w:hAnsi="Times New Roman"/>
                <w:sz w:val="24"/>
                <w:szCs w:val="24"/>
              </w:rPr>
              <w:t>2647 Huỳnh Tấn Phát, Ấp 6, xã Phú Xuân, huyện Nhà Bè, thành phố Hồ Chí Minh</w:t>
            </w:r>
          </w:p>
        </w:tc>
        <w:tc>
          <w:tcPr>
            <w:tcW w:w="2430" w:type="dxa"/>
            <w:vAlign w:val="center"/>
          </w:tcPr>
          <w:p w:rsidR="00D0444B" w:rsidRPr="006F05F2" w:rsidRDefault="00D0444B" w:rsidP="006F05F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2">
              <w:rPr>
                <w:rFonts w:ascii="Times New Roman" w:hAnsi="Times New Roman"/>
                <w:sz w:val="24"/>
                <w:szCs w:val="24"/>
              </w:rPr>
              <w:t>X</w:t>
            </w:r>
            <w:r w:rsidRPr="006F05F2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6F05F2">
              <w:rPr>
                <w:rFonts w:ascii="Times New Roman" w:hAnsi="Times New Roman"/>
                <w:sz w:val="24"/>
                <w:szCs w:val="24"/>
              </w:rPr>
              <w:t>ng  E5 RON 92 – II</w:t>
            </w:r>
          </w:p>
        </w:tc>
        <w:tc>
          <w:tcPr>
            <w:tcW w:w="2412" w:type="dxa"/>
            <w:vMerge w:val="restart"/>
            <w:vAlign w:val="center"/>
          </w:tcPr>
          <w:p w:rsidR="00D0444B" w:rsidRPr="004771CA" w:rsidRDefault="00D0444B" w:rsidP="006F05F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/GCN-T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C ng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/2017</w:t>
            </w:r>
          </w:p>
          <w:p w:rsidR="00D0444B" w:rsidRPr="004771CA" w:rsidRDefault="00D0444B" w:rsidP="006F05F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(Gi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ấ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ch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ứ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 nh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ậ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 c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ó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gi</w:t>
            </w:r>
            <w:r w:rsidRPr="00E61A38">
              <w:rPr>
                <w:rFonts w:ascii="Times New Roman" w:hAnsi="Times New Roman" w:cs=".VnTime"/>
                <w:b/>
                <w:i/>
                <w:sz w:val="24"/>
                <w:szCs w:val="24"/>
              </w:rPr>
              <w:t>á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ị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ă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ừ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k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ý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444B" w:rsidRPr="004771CA" w:rsidTr="006F05F2">
        <w:tc>
          <w:tcPr>
            <w:tcW w:w="648" w:type="dxa"/>
            <w:vMerge/>
          </w:tcPr>
          <w:p w:rsidR="00D0444B" w:rsidRPr="004771CA" w:rsidRDefault="00D0444B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D0444B" w:rsidRPr="00FD5874" w:rsidRDefault="00D0444B" w:rsidP="00F65D8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D0444B" w:rsidRPr="00FD5874" w:rsidRDefault="00D0444B" w:rsidP="00F65D8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highlight w:val="yellow"/>
              </w:rPr>
            </w:pPr>
          </w:p>
        </w:tc>
        <w:tc>
          <w:tcPr>
            <w:tcW w:w="2610" w:type="dxa"/>
            <w:vAlign w:val="center"/>
          </w:tcPr>
          <w:p w:rsidR="00D0444B" w:rsidRPr="006F05F2" w:rsidRDefault="00D0444B" w:rsidP="006F05F2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5F2">
              <w:rPr>
                <w:rFonts w:ascii="Times New Roman" w:hAnsi="Times New Roman"/>
                <w:b/>
                <w:sz w:val="24"/>
                <w:szCs w:val="24"/>
              </w:rPr>
              <w:t>2. Tổng kho x</w:t>
            </w:r>
            <w:r w:rsidRPr="006F05F2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6F05F2">
              <w:rPr>
                <w:rFonts w:ascii="Times New Roman" w:hAnsi="Times New Roman"/>
                <w:b/>
                <w:sz w:val="24"/>
                <w:szCs w:val="24"/>
              </w:rPr>
              <w:t xml:space="preserve">ng dầu </w:t>
            </w:r>
            <w:r w:rsidRPr="006F05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Chánh Mỹ</w:t>
            </w:r>
          </w:p>
          <w:p w:rsidR="00D0444B" w:rsidRPr="006F05F2" w:rsidRDefault="00D0444B" w:rsidP="006F05F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5F2">
              <w:rPr>
                <w:rFonts w:ascii="Times New Roman" w:hAnsi="Times New Roman"/>
                <w:sz w:val="24"/>
                <w:szCs w:val="24"/>
              </w:rPr>
              <w:t>Ấp Chánh Lộc, xã Chánh Mỹ, thành phố Thủ Dầu Một, tỉnh Bình D</w:t>
            </w:r>
            <w:r w:rsidRPr="006F05F2">
              <w:rPr>
                <w:rFonts w:ascii="Times New Roman" w:hAnsi="Times New Roman" w:hint="eastAsia"/>
                <w:sz w:val="24"/>
                <w:szCs w:val="24"/>
              </w:rPr>
              <w:t>ươ</w:t>
            </w:r>
            <w:r w:rsidRPr="006F05F2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2430" w:type="dxa"/>
            <w:vAlign w:val="center"/>
          </w:tcPr>
          <w:p w:rsidR="00D0444B" w:rsidRPr="006F05F2" w:rsidRDefault="00D0444B" w:rsidP="006F05F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2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  <w:r w:rsidRPr="006F05F2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6F05F2">
              <w:rPr>
                <w:rFonts w:ascii="Times New Roman" w:hAnsi="Times New Roman"/>
                <w:sz w:val="24"/>
                <w:szCs w:val="24"/>
              </w:rPr>
              <w:t>ng  E5 RON 92 – II</w:t>
            </w:r>
          </w:p>
        </w:tc>
        <w:tc>
          <w:tcPr>
            <w:tcW w:w="2412" w:type="dxa"/>
            <w:vMerge/>
            <w:vAlign w:val="center"/>
          </w:tcPr>
          <w:p w:rsidR="00D0444B" w:rsidRPr="004771CA" w:rsidRDefault="00D0444B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F2" w:rsidRPr="00FD5874" w:rsidTr="00E61A38">
        <w:tc>
          <w:tcPr>
            <w:tcW w:w="648" w:type="dxa"/>
            <w:vMerge w:val="restart"/>
          </w:tcPr>
          <w:p w:rsidR="006F05F2" w:rsidRPr="00D0444B" w:rsidRDefault="006F05F2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  <w:p w:rsidR="006F05F2" w:rsidRPr="00D0444B" w:rsidRDefault="00BA406C" w:rsidP="00D9165E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610" w:type="dxa"/>
            <w:vMerge w:val="restart"/>
            <w:vAlign w:val="center"/>
          </w:tcPr>
          <w:p w:rsidR="006F05F2" w:rsidRPr="00D0444B" w:rsidRDefault="006F05F2" w:rsidP="00AE557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</w:pPr>
            <w:r w:rsidRPr="00D0444B"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</w:rPr>
              <w:t>Công ty TNHH Một thành viên dầu khí thành phố Hồ Chí Minh</w:t>
            </w:r>
          </w:p>
        </w:tc>
        <w:tc>
          <w:tcPr>
            <w:tcW w:w="2952" w:type="dxa"/>
            <w:vMerge w:val="restart"/>
            <w:vAlign w:val="center"/>
          </w:tcPr>
          <w:p w:rsidR="006F05F2" w:rsidRPr="00D0444B" w:rsidRDefault="006F05F2" w:rsidP="00AE557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D0444B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Số 27 Nguyễn Thông, phường 7, quận 3, TP Hồ Chí Minh</w:t>
            </w:r>
          </w:p>
          <w:p w:rsidR="006F05F2" w:rsidRPr="00D0444B" w:rsidRDefault="006F05F2" w:rsidP="004771C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D0444B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 xml:space="preserve">ĐT: 028.39307037 </w:t>
            </w:r>
          </w:p>
          <w:p w:rsidR="006F05F2" w:rsidRPr="00D0444B" w:rsidRDefault="006F05F2" w:rsidP="004771C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</w:pPr>
            <w:r w:rsidRPr="00D0444B"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</w:rPr>
              <w:t>Fax: 028.39307642</w:t>
            </w:r>
          </w:p>
        </w:tc>
        <w:tc>
          <w:tcPr>
            <w:tcW w:w="2610" w:type="dxa"/>
            <w:vAlign w:val="center"/>
          </w:tcPr>
          <w:p w:rsidR="006F05F2" w:rsidRPr="00D0444B" w:rsidRDefault="006F05F2" w:rsidP="00E61A38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44B">
              <w:rPr>
                <w:rFonts w:ascii="Times New Roman" w:hAnsi="Times New Roman"/>
                <w:b/>
                <w:sz w:val="24"/>
                <w:szCs w:val="24"/>
              </w:rPr>
              <w:t>1. Nhà máy lọc dầu Cát Lái</w:t>
            </w:r>
          </w:p>
          <w:p w:rsidR="006F05F2" w:rsidRPr="00D0444B" w:rsidRDefault="006F05F2" w:rsidP="00E61A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 xml:space="preserve">990 Nguyễn Thị 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ịnh, ph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ờng Thạch Mỹ Lợi, quận 2, thành phố Hồ Chí Minh</w:t>
            </w:r>
          </w:p>
        </w:tc>
        <w:tc>
          <w:tcPr>
            <w:tcW w:w="2430" w:type="dxa"/>
            <w:vAlign w:val="center"/>
          </w:tcPr>
          <w:p w:rsidR="006F05F2" w:rsidRPr="00D0444B" w:rsidRDefault="006F05F2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X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ng  E5 RON 92 – II</w:t>
            </w:r>
          </w:p>
          <w:p w:rsidR="006F05F2" w:rsidRPr="00D0444B" w:rsidRDefault="006F05F2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RON 92 - II</w:t>
            </w:r>
          </w:p>
        </w:tc>
        <w:tc>
          <w:tcPr>
            <w:tcW w:w="2412" w:type="dxa"/>
            <w:vMerge w:val="restart"/>
            <w:vAlign w:val="center"/>
          </w:tcPr>
          <w:p w:rsidR="00D0444B" w:rsidRPr="00D0444B" w:rsidRDefault="00D0444B" w:rsidP="00D0444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3353/GCN-TĐC ngày 14/12/2017</w:t>
            </w:r>
          </w:p>
          <w:p w:rsidR="006F05F2" w:rsidRPr="00D0444B" w:rsidRDefault="00D0444B" w:rsidP="004771CA">
            <w:p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71CA">
              <w:rPr>
                <w:rFonts w:ascii="Times New Roman" w:hAnsi="Times New Roman"/>
                <w:sz w:val="24"/>
                <w:szCs w:val="24"/>
              </w:rPr>
              <w:t>(Gi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ấ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ch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ứ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ng nh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ậ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n c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ó</w:t>
            </w:r>
            <w:r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gi</w:t>
            </w:r>
            <w:r w:rsidRPr="00E61A38">
              <w:rPr>
                <w:rFonts w:ascii="Times New Roman" w:hAnsi="Times New Roman" w:cs=".VnTime"/>
                <w:b/>
                <w:i/>
                <w:sz w:val="24"/>
                <w:szCs w:val="24"/>
              </w:rPr>
              <w:t>á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ị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</w:t>
            </w:r>
            <w:r w:rsidRPr="00E61A38">
              <w:rPr>
                <w:rFonts w:ascii="Times New Roman" w:hAnsi="Times New Roman" w:cs="Arial"/>
                <w:b/>
                <w:i/>
                <w:sz w:val="24"/>
                <w:szCs w:val="24"/>
              </w:rPr>
              <w:t>ă</w:t>
            </w:r>
            <w:r w:rsidRPr="00E61A38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ể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ừ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 w:rsidRPr="004771CA">
              <w:rPr>
                <w:rFonts w:ascii="Times New Roman" w:hAnsi="Times New Roman" w:cs="Arial"/>
                <w:sz w:val="24"/>
                <w:szCs w:val="24"/>
              </w:rPr>
              <w:t>à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y k</w:t>
            </w:r>
            <w:r w:rsidRPr="004771CA">
              <w:rPr>
                <w:rFonts w:ascii="Times New Roman" w:hAnsi="Times New Roman" w:cs=".VnTime"/>
                <w:sz w:val="24"/>
                <w:szCs w:val="24"/>
              </w:rPr>
              <w:t>ý</w:t>
            </w:r>
            <w:r w:rsidRPr="00477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5F2" w:rsidRPr="00FD5874" w:rsidTr="00E61A38">
        <w:tc>
          <w:tcPr>
            <w:tcW w:w="648" w:type="dxa"/>
            <w:vMerge/>
            <w:vAlign w:val="center"/>
          </w:tcPr>
          <w:p w:rsidR="006F05F2" w:rsidRPr="00FD5874" w:rsidRDefault="006F05F2" w:rsidP="00275F4D">
            <w:pPr>
              <w:spacing w:before="120" w:after="120"/>
              <w:ind w:left="9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vMerge/>
          </w:tcPr>
          <w:p w:rsidR="006F05F2" w:rsidRPr="00FD5874" w:rsidRDefault="006F05F2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/>
                <w:bCs w:val="0"/>
                <w:iCs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52" w:type="dxa"/>
            <w:vMerge/>
            <w:vAlign w:val="center"/>
          </w:tcPr>
          <w:p w:rsidR="006F05F2" w:rsidRPr="00FD5874" w:rsidRDefault="006F05F2" w:rsidP="00275F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Calibri" w:hAnsi="Times New Roman"/>
                <w:bCs w:val="0"/>
                <w:iCs w:val="0"/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vAlign w:val="center"/>
          </w:tcPr>
          <w:p w:rsidR="006F05F2" w:rsidRPr="00D0444B" w:rsidRDefault="006F05F2" w:rsidP="00E61A38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44B">
              <w:rPr>
                <w:rFonts w:ascii="Times New Roman" w:hAnsi="Times New Roman"/>
                <w:b/>
                <w:sz w:val="24"/>
                <w:szCs w:val="24"/>
              </w:rPr>
              <w:t>2. Chi nhánh Công ty TNHH Một thành viên dầu khí thành phố Hồ Chí Minh tại thành phố Cần Th</w:t>
            </w:r>
            <w:r w:rsidRPr="00D0444B">
              <w:rPr>
                <w:rFonts w:ascii="Times New Roman" w:hAnsi="Times New Roman" w:hint="eastAsia"/>
                <w:b/>
                <w:sz w:val="24"/>
                <w:szCs w:val="24"/>
              </w:rPr>
              <w:t>ơ</w:t>
            </w:r>
          </w:p>
          <w:p w:rsidR="006F05F2" w:rsidRPr="00D0444B" w:rsidRDefault="006F05F2" w:rsidP="00E61A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lô 15-16 Khu công nghiệp Trà Nóc II, ph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ờng Ph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ớc Thới, quận Ô Môn, thành phố Cần Th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ơ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:rsidR="006F05F2" w:rsidRPr="00D0444B" w:rsidRDefault="006F05F2" w:rsidP="00275F4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4B">
              <w:rPr>
                <w:rFonts w:ascii="Times New Roman" w:hAnsi="Times New Roman"/>
                <w:sz w:val="24"/>
                <w:szCs w:val="24"/>
              </w:rPr>
              <w:t>X</w:t>
            </w:r>
            <w:r w:rsidRPr="00D0444B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D0444B">
              <w:rPr>
                <w:rFonts w:ascii="Times New Roman" w:hAnsi="Times New Roman"/>
                <w:sz w:val="24"/>
                <w:szCs w:val="24"/>
              </w:rPr>
              <w:t>ng  E5 RON 92 – II</w:t>
            </w:r>
          </w:p>
        </w:tc>
        <w:tc>
          <w:tcPr>
            <w:tcW w:w="2412" w:type="dxa"/>
            <w:vMerge/>
            <w:vAlign w:val="center"/>
          </w:tcPr>
          <w:p w:rsidR="006F05F2" w:rsidRPr="00FD5874" w:rsidRDefault="006F05F2" w:rsidP="00275F4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16583" w:rsidRPr="00E8036C" w:rsidRDefault="00F16583" w:rsidP="00F16583">
      <w:pPr>
        <w:rPr>
          <w:rFonts w:ascii="Times New Roman" w:hAnsi="Times New Roman"/>
          <w:lang w:val="pt-BR"/>
        </w:rPr>
      </w:pPr>
    </w:p>
    <w:p w:rsidR="00F16583" w:rsidRDefault="00F16583" w:rsidP="00F16583">
      <w:pPr>
        <w:ind w:firstLine="720"/>
        <w:rPr>
          <w:rFonts w:ascii="Times New Roman" w:hAnsi="Times New Roman"/>
          <w:i/>
          <w:iCs w:val="0"/>
        </w:rPr>
      </w:pPr>
      <w:r w:rsidRPr="000533F8">
        <w:rPr>
          <w:rFonts w:ascii="Times New Roman" w:hAnsi="Times New Roman"/>
          <w:b/>
          <w:bCs w:val="0"/>
          <w:i/>
          <w:iCs w:val="0"/>
          <w:u w:val="single"/>
        </w:rPr>
        <w:t>L</w:t>
      </w:r>
      <w:r w:rsidRPr="000533F8">
        <w:rPr>
          <w:rFonts w:ascii="Times New Roman" w:hAnsi="Times New Roman" w:cs="Arial"/>
          <w:b/>
          <w:bCs w:val="0"/>
          <w:i/>
          <w:iCs w:val="0"/>
          <w:u w:val="single"/>
        </w:rPr>
        <w:t>ư</w:t>
      </w:r>
      <w:r w:rsidRPr="000533F8">
        <w:rPr>
          <w:rFonts w:ascii="Times New Roman" w:hAnsi="Times New Roman"/>
          <w:b/>
          <w:bCs w:val="0"/>
          <w:i/>
          <w:iCs w:val="0"/>
          <w:u w:val="single"/>
        </w:rPr>
        <w:t>u ý:</w:t>
      </w:r>
      <w:r w:rsidRPr="000533F8">
        <w:rPr>
          <w:rFonts w:ascii="Times New Roman" w:hAnsi="Times New Roman"/>
          <w:i/>
          <w:iCs w:val="0"/>
        </w:rPr>
        <w:t xml:space="preserve"> Danh sách này s</w:t>
      </w:r>
      <w:r w:rsidRPr="000533F8">
        <w:rPr>
          <w:rFonts w:ascii="Times New Roman" w:hAnsi="Times New Roman" w:cs="Arial"/>
          <w:i/>
          <w:iCs w:val="0"/>
        </w:rPr>
        <w:t>ẽđượ</w:t>
      </w:r>
      <w:r w:rsidRPr="000533F8">
        <w:rPr>
          <w:rFonts w:ascii="Times New Roman" w:hAnsi="Times New Roman" w:cs=".VnTime"/>
          <w:i/>
          <w:iCs w:val="0"/>
        </w:rPr>
        <w:t>c</w:t>
      </w:r>
      <w:r w:rsidRPr="000533F8">
        <w:rPr>
          <w:rFonts w:ascii="Times New Roman" w:hAnsi="Times New Roman"/>
          <w:i/>
          <w:iCs w:val="0"/>
        </w:rPr>
        <w:t xml:space="preserve"> c</w:t>
      </w:r>
      <w:r w:rsidRPr="000533F8">
        <w:rPr>
          <w:rFonts w:ascii="Times New Roman" w:hAnsi="Times New Roman" w:cs="Arial"/>
          <w:i/>
          <w:iCs w:val="0"/>
        </w:rPr>
        <w:t>ậ</w:t>
      </w:r>
      <w:r w:rsidRPr="000533F8">
        <w:rPr>
          <w:rFonts w:ascii="Times New Roman" w:hAnsi="Times New Roman" w:cs=".VnTime"/>
          <w:i/>
          <w:iCs w:val="0"/>
        </w:rPr>
        <w:t>p</w:t>
      </w:r>
      <w:r w:rsidRPr="000533F8">
        <w:rPr>
          <w:rFonts w:ascii="Times New Roman" w:hAnsi="Times New Roman"/>
          <w:i/>
          <w:iCs w:val="0"/>
        </w:rPr>
        <w:t xml:space="preserve"> nh</w:t>
      </w:r>
      <w:r w:rsidRPr="000533F8">
        <w:rPr>
          <w:rFonts w:ascii="Times New Roman" w:hAnsi="Times New Roman" w:cs="Arial"/>
          <w:i/>
          <w:iCs w:val="0"/>
        </w:rPr>
        <w:t>ậ</w:t>
      </w:r>
      <w:r w:rsidRPr="000533F8">
        <w:rPr>
          <w:rFonts w:ascii="Times New Roman" w:hAnsi="Times New Roman" w:cs=".VnTime"/>
          <w:i/>
          <w:iCs w:val="0"/>
        </w:rPr>
        <w:t>t</w:t>
      </w:r>
      <w:r w:rsidRPr="000533F8">
        <w:rPr>
          <w:rFonts w:ascii="Times New Roman" w:hAnsi="Times New Roman"/>
          <w:i/>
          <w:iCs w:val="0"/>
        </w:rPr>
        <w:t xml:space="preserve"> khi có thay </w:t>
      </w:r>
      <w:r w:rsidRPr="000533F8">
        <w:rPr>
          <w:rFonts w:ascii="Times New Roman" w:hAnsi="Times New Roman" w:cs="Arial"/>
          <w:i/>
          <w:iCs w:val="0"/>
        </w:rPr>
        <w:t>đổ</w:t>
      </w:r>
      <w:r w:rsidRPr="000533F8">
        <w:rPr>
          <w:rFonts w:ascii="Times New Roman" w:hAnsi="Times New Roman" w:cs=".VnTime"/>
          <w:i/>
          <w:iCs w:val="0"/>
        </w:rPr>
        <w:t>i</w:t>
      </w:r>
      <w:r w:rsidRPr="000533F8">
        <w:rPr>
          <w:rFonts w:ascii="Times New Roman" w:hAnsi="Times New Roman"/>
          <w:i/>
          <w:iCs w:val="0"/>
        </w:rPr>
        <w:t>.</w:t>
      </w:r>
    </w:p>
    <w:p w:rsidR="00F16583" w:rsidRDefault="00F16583" w:rsidP="00F16583">
      <w:pPr>
        <w:ind w:firstLine="720"/>
        <w:rPr>
          <w:rFonts w:ascii="Times New Roman" w:hAnsi="Times New Roman"/>
          <w:i/>
          <w:iCs w:val="0"/>
        </w:rPr>
      </w:pPr>
    </w:p>
    <w:p w:rsidR="00F16583" w:rsidRDefault="00F16583" w:rsidP="00F16583"/>
    <w:p w:rsidR="00F16583" w:rsidRDefault="00F16583" w:rsidP="00F16583"/>
    <w:p w:rsidR="00CF3142" w:rsidRDefault="00D0444B"/>
    <w:sectPr w:rsidR="00CF3142" w:rsidSect="00400AD0">
      <w:pgSz w:w="15840" w:h="12240" w:orient="landscape" w:code="1"/>
      <w:pgMar w:top="1008" w:right="1152" w:bottom="864" w:left="144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1D3"/>
    <w:multiLevelType w:val="hybridMultilevel"/>
    <w:tmpl w:val="303E2302"/>
    <w:lvl w:ilvl="0" w:tplc="0FA80F5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6583"/>
    <w:rsid w:val="00313667"/>
    <w:rsid w:val="004771CA"/>
    <w:rsid w:val="00477C31"/>
    <w:rsid w:val="006F05F2"/>
    <w:rsid w:val="00706530"/>
    <w:rsid w:val="007930F3"/>
    <w:rsid w:val="00804DFC"/>
    <w:rsid w:val="00846B15"/>
    <w:rsid w:val="009D7E91"/>
    <w:rsid w:val="00A4008B"/>
    <w:rsid w:val="00AE5574"/>
    <w:rsid w:val="00B00219"/>
    <w:rsid w:val="00BA406C"/>
    <w:rsid w:val="00D0444B"/>
    <w:rsid w:val="00D72EC6"/>
    <w:rsid w:val="00E61A38"/>
    <w:rsid w:val="00E81DE7"/>
    <w:rsid w:val="00EF41CF"/>
    <w:rsid w:val="00F16583"/>
    <w:rsid w:val="00F66C04"/>
    <w:rsid w:val="00FD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83"/>
    <w:pPr>
      <w:spacing w:after="0" w:line="240" w:lineRule="auto"/>
    </w:pPr>
    <w:rPr>
      <w:rFonts w:ascii=".VnTime" w:eastAsia="Times New Roman" w:hAnsi=".VnTime" w:cs="Times New Roman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83"/>
    <w:pPr>
      <w:spacing w:after="0" w:line="240" w:lineRule="auto"/>
    </w:pPr>
    <w:rPr>
      <w:rFonts w:ascii=".VnTime" w:eastAsia="Times New Roman" w:hAnsi=".VnTime" w:cs="Times New Roman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songhaupet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HCHQ</dc:creator>
  <cp:lastModifiedBy>HCHQ3</cp:lastModifiedBy>
  <cp:revision>32</cp:revision>
  <dcterms:created xsi:type="dcterms:W3CDTF">2017-10-12T07:37:00Z</dcterms:created>
  <dcterms:modified xsi:type="dcterms:W3CDTF">2018-01-02T04:27:00Z</dcterms:modified>
</cp:coreProperties>
</file>